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FI</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LIITE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”LIITE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OMIEN VAROJEN JA OMIEN VAROJEN VAATIMUSTEN RAPORTOINTIA KOSKEVAT OHJEET</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rPr>
          <w:rFonts w:ascii="Times New Roman" w:hAnsi="Times New Roman"/>
          <w:sz w:val="24"/>
        </w:rPr>
        <w:tab/>
        <w:t>C 25.01 – VASTUUN ARVONOIKAISURISKI</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Tiettyjä positioita koskevat ohjeet</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Sarakkeet</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Vastapuoliriskin (CCR) vastuuarvo</w:t>
            </w:r>
          </w:p>
          <w:p w14:paraId="06BD2F33" w14:textId="77777777" w:rsidR="00680687" w:rsidRPr="002A677E" w:rsidRDefault="00680687" w:rsidP="006A3ADC">
            <w:pPr>
              <w:rPr>
                <w:rFonts w:ascii="Times New Roman" w:hAnsi="Times New Roman"/>
                <w:sz w:val="24"/>
              </w:rPr>
            </w:pPr>
            <w:r>
              <w:rPr>
                <w:rFonts w:ascii="Times New Roman" w:hAnsi="Times New Roman"/>
                <w:sz w:val="24"/>
              </w:rPr>
              <w:t>Asetuksen (EU) N:o 575/2013 kolmannen osan II osaston 4 ja 6 luvussa esitettyjen menetelmien mukaisesti laskettu vastapuoliriskin vastuuarvo.</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Vastapuoliriskiä koskevat omien varojen vaatimukset</w:t>
            </w:r>
          </w:p>
          <w:p w14:paraId="0F0016B3" w14:textId="77777777" w:rsidR="00680687" w:rsidRPr="002A677E" w:rsidRDefault="00680687" w:rsidP="006A3ADC">
            <w:pPr>
              <w:rPr>
                <w:rFonts w:ascii="Times New Roman" w:hAnsi="Times New Roman"/>
                <w:sz w:val="24"/>
              </w:rPr>
            </w:pPr>
            <w:r>
              <w:rPr>
                <w:rFonts w:ascii="Times New Roman" w:hAnsi="Times New Roman"/>
                <w:sz w:val="24"/>
              </w:rPr>
              <w:t>Vastapuoliriskiä koskevat omien varojen vaatimukset (asetuksen (EU) N:o 575/2013 92 artiklan 4 kohdan a ja g alakohta ja kolmannen osan VI osasto).</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Nimellisarvo</w:t>
            </w:r>
          </w:p>
          <w:p w14:paraId="3D1812D7" w14:textId="77777777" w:rsidR="00680687" w:rsidRPr="002A677E" w:rsidRDefault="00680687" w:rsidP="006A3ADC">
            <w:pPr>
              <w:rPr>
                <w:rFonts w:ascii="Times New Roman" w:hAnsi="Times New Roman"/>
                <w:sz w:val="24"/>
              </w:rPr>
            </w:pPr>
            <w:r>
              <w:rPr>
                <w:rFonts w:ascii="Times New Roman" w:hAnsi="Times New Roman"/>
                <w:sz w:val="24"/>
              </w:rPr>
              <w:t>Tässä tarkoitetaan johdannaisten nimellismäärien summaa ennen nettoutusta ja ilman asetuksen (EU) N:o 575/2013 279 b artiklan mukaisia mukautuksia.</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Aiheutuneet vastuun arvonoikaisut</w:t>
            </w:r>
          </w:p>
          <w:p w14:paraId="736FE6AE" w14:textId="77777777" w:rsidR="00680687" w:rsidRPr="002A677E" w:rsidRDefault="00680687" w:rsidP="006A3ADC">
            <w:pPr>
              <w:rPr>
                <w:rFonts w:ascii="Times New Roman" w:hAnsi="Times New Roman"/>
                <w:sz w:val="24"/>
              </w:rPr>
            </w:pPr>
            <w:r>
              <w:rPr>
                <w:rFonts w:ascii="Times New Roman" w:hAnsi="Times New Roman"/>
                <w:sz w:val="24"/>
              </w:rPr>
              <w:t>Tässä tarkoitetaan kirjanpitovarauksia, jotka aiheutuvat johdannaissopimusten vastapuolten luottokelpoisuuden huonontumisesta.</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Yhteistä sijoitustoimintaa harjoittavien yritysten johdannaispositioiden yksinkertaistettu käsittely</w:t>
            </w:r>
          </w:p>
          <w:p w14:paraId="5D30B96B" w14:textId="77777777" w:rsidR="00680687" w:rsidRPr="002A677E" w:rsidRDefault="00680687" w:rsidP="006A3ADC">
            <w:pPr>
              <w:rPr>
                <w:rFonts w:ascii="Times New Roman" w:hAnsi="Times New Roman"/>
                <w:sz w:val="24"/>
              </w:rPr>
            </w:pPr>
            <w:r>
              <w:rPr>
                <w:rFonts w:ascii="Times New Roman" w:hAnsi="Times New Roman"/>
                <w:sz w:val="24"/>
              </w:rPr>
              <w:t>Vastuun arvonoikaisuriskin omien varojen vaatimukset (asetuksen (EU) N:o 575/2013 92 artiklan 4 kohdan d alakohta ja kolmannen osan VI osasto), jotka lasketaan asetuksen (EU) N:o 575/2013 132 a artiklan 3 kohdassa, 152 artiklan 3 kohdassa ja 325 j artiklan 1 kohdassa määritellyn yhteistä sijoitustoimintaa harjoittavien yritysten johdannaispositioiden yksinkertaistetun käsittelyn mukaisesti.</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Yksinkertaistettu menetelmä</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Tässä tarkoitetaan sellaisten liiketoimien omien varojen vaatimuksia, joihin sovelletaan asetuksen (EU) N:o 575/2013 385 artiklassa tarkoitettua yksinkertaistettua menetelmää.</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Suppea BA-CVA-menetelmä</w:t>
            </w:r>
          </w:p>
          <w:p w14:paraId="10567290" w14:textId="77777777" w:rsidR="00680687" w:rsidRPr="002A677E" w:rsidRDefault="00680687" w:rsidP="006A3ADC">
            <w:pPr>
              <w:rPr>
                <w:rFonts w:ascii="Times New Roman" w:hAnsi="Times New Roman"/>
                <w:sz w:val="24"/>
              </w:rPr>
            </w:pPr>
            <w:r>
              <w:rPr>
                <w:rFonts w:ascii="Times New Roman" w:hAnsi="Times New Roman"/>
                <w:sz w:val="24"/>
              </w:rPr>
              <w:t>Vastuun arvonoikaisuriskin omien varojen vaatimukset (asetuksen (EU) N:o 575/2013 92 artiklan 4 kohdan d alakohta ja kolmannen osan VI osasto), jotka lasketaan 384 artiklan 3 kohdan mukaisesti sellaisen laitoksen osalta, joka täyttää asetuksen (EU) N:o 575/2013 384 artiklan 1 kohdan b alakohdassa vahvistetun edellytyksen.</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proofErr w:type="gramStart"/>
            <w:r>
              <w:rPr>
                <w:rFonts w:ascii="Times New Roman" w:hAnsi="Times New Roman"/>
                <w:sz w:val="24"/>
              </w:rPr>
              <w:t>0080-0110</w:t>
            </w:r>
            <w:proofErr w:type="gramEnd"/>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Täysi BA-CVA-menetelmä</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Vastuun arvonoikaisuriskin omien varojen vaatimukset (asetuksen (EU) N:o 575/2013 92 artiklan 4 kohdan d alakohta ja kolmannen osan VI osasto), jotka lasketaan asetuksen (EU) N:o 575/2013 384 artiklan 2 kohdan mukaisesti asetuksen (EU) N:o 575/2013 384 artiklan 1 kohdan a alakohdassa vahvistetun edellytyksen täyttävän laitoksen osalta.</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Vastuun arvonoikaisujen suojausten nimellisarvo</w:t>
            </w:r>
          </w:p>
          <w:p w14:paraId="3C607DB7" w14:textId="77777777" w:rsidR="00680687" w:rsidRPr="002A677E" w:rsidRDefault="00680687" w:rsidP="006A3ADC">
            <w:pPr>
              <w:rPr>
                <w:rFonts w:ascii="Times New Roman" w:hAnsi="Times New Roman"/>
                <w:sz w:val="24"/>
              </w:rPr>
            </w:pPr>
            <w:r>
              <w:rPr>
                <w:rFonts w:ascii="Times New Roman" w:hAnsi="Times New Roman"/>
                <w:sz w:val="24"/>
              </w:rPr>
              <w:t>Vastuun arvonoikaisun sellaisten hyväksyttävien suojausten nimellisarvo (brutto), jotka on hyväksytty asetuksen (EU) N:o 575/2013 386 artiklan mukaisesti.</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u w:val="single"/>
              </w:rPr>
              <w:t>BACVA</w:t>
            </w:r>
            <w:r>
              <w:rPr>
                <w:rFonts w:ascii="Times New Roman" w:hAnsi="Times New Roman"/>
                <w:b/>
                <w:sz w:val="24"/>
                <w:vertAlign w:val="superscript"/>
              </w:rPr>
              <w:t>csr-unhedged</w:t>
            </w:r>
          </w:p>
          <w:p w14:paraId="4A0E67ED" w14:textId="77777777" w:rsidR="00680687" w:rsidRPr="002A677E" w:rsidRDefault="00680687" w:rsidP="006A3ADC">
            <w:pPr>
              <w:rPr>
                <w:rFonts w:ascii="Times New Roman" w:hAnsi="Times New Roman"/>
                <w:sz w:val="24"/>
              </w:rPr>
            </w:pPr>
            <w:r>
              <w:rPr>
                <w:rFonts w:ascii="Times New Roman" w:hAnsi="Times New Roman"/>
                <w:sz w:val="24"/>
              </w:rPr>
              <w:t>Asetuksen (EU) N:o 575/2013 384 artiklan 3 kohdan mukaisesti laskettu BACVAcsr-unhedged sellaisten liiketoimien osalta, joihin sovelletaan perusmenetelmää, sellaisen laitoksen osalta, joka täyttää asetuksen (EU) N:o 575/2013 384 artiklan 1 kohdan b alakohdassa säädetyn edellytyksen.</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u w:val="single"/>
              </w:rPr>
              <w:t>BACVA</w:t>
            </w:r>
            <w:r>
              <w:rPr>
                <w:rFonts w:ascii="Times New Roman" w:hAnsi="Times New Roman"/>
                <w:b/>
                <w:sz w:val="24"/>
                <w:vertAlign w:val="superscript"/>
              </w:rPr>
              <w:t>csr-hedged</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Asetuksen (EU) N:o 575/2013 384 artiklan 2 kohdan mukaisesti laskettu BACVAcsr-hedged sellaisten liiketoimien osalta, joihin sovelletaan perusmenetelmää, sellaisen laitoksen osalta, joka täyttää asetuksen (EU) N:o 575/2013 384 artiklan 1 kohdan a alakohdassa säädetyn edellytyksen.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Omien varojen vaatimukset</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384 artiklan 2 kohdan mukaisesti lasketut sellaisten liiketoimien omien varojen vaatimukset yhteensä, joihin sovelletaan täyttä perusmenetelmää, sellaisen laitoksen osalta, joka täyttää asetuksen (EU) N:o 575/2013 384 artiklan 1 kohdan a alakohdassa säädetyn edellytyksen.</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SA-CVA-menetelmä</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Vastuun arvonoikaisuriskin omien varojen vaatimukset (asetuksen (EU) N:o 575/2013 92 artiklan 4 kohdan d alakohta ja kolmannen osan VI osasto), jotka lasketaan asetuksen (EU) N:o 575/2013 383 artiklan mukaisesti 382 a artiklan 1 kohdan a alakohdassa vahvistetun edellytyksen täyttävän laitoksen osalta.</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Vastuun arvonoikaisujen suojausten nimellisarvo</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Vastuun arvonoikaisun sellaisten hyväksyttävien suojausten nimellisarvo, jotka on hyväksytty asetuksen (EU) N:o 575/2013 386 artiklan mukaisesti.</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Vastapuolten lukumäärä</w:t>
            </w:r>
          </w:p>
          <w:p w14:paraId="10FC4FF6" w14:textId="77777777" w:rsidR="00680687" w:rsidRPr="002A677E" w:rsidRDefault="00680687" w:rsidP="006A3ADC">
            <w:pPr>
              <w:rPr>
                <w:rFonts w:ascii="Times New Roman" w:hAnsi="Times New Roman"/>
                <w:sz w:val="24"/>
              </w:rPr>
            </w:pPr>
            <w:r>
              <w:rPr>
                <w:rFonts w:ascii="Times New Roman" w:hAnsi="Times New Roman"/>
                <w:sz w:val="24"/>
              </w:rPr>
              <w:t>Asetuksen (EU) N:o 575/2013 445 a artiklan 1 kohdan c alakohta</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Niiden asetuksen (EU) N:o 575/2013 383 artiklan 1 kohdassa määriteltyjen vastapuolten lukumäärä, jotka on sisällytetty standardimenetelmän vastuun arvonoikaisuriskin omien varojen laskentaan. Kokonaislukumäärä on ilmoitettava rivillä 0010 ja erittely vastapuolityypeittäin riveillä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Omien varojen vaatimukset nettoutusryhmille, joihin sovelletaan SA-CVA-menetelmää</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artiklan mukaiset standardimenetelmän vastuun arvonoikaisuriskin omien varojen vaatimukset, mukaan lukien jaottelu 383 artiklan 2 kohdan 1 alakohdan mukaisiin riskiluokkiin, ja kunkin riskiluokan osalta deltariskejä ja vegariskejä koskevat omien varojen vaatimukset asetuksen (EU) N:o 575/2013 383 artiklan 3 kohdan ja 383 b artiklan mukaisesti.</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Korkoriskin omien varojen vaatimukset</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c, 383 i, 383 j, 383 k, 383 l ja 383 m artikla.</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Valuuttakurssiriskin omien varojen vaatimukset</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d, 383 i, 383 j, 383 n ja 383 o artikla.</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Vastapuolta koskevan luottomarginaaliriskin omien varojen vaatimukset</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e, 383 i, 383 j, 383 p, 383 q ja 383 r artikla.</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proofErr w:type="gramStart"/>
            <w:r>
              <w:rPr>
                <w:rFonts w:ascii="Times New Roman" w:hAnsi="Times New Roman"/>
                <w:sz w:val="24"/>
              </w:rPr>
              <w:t>0200-0210</w:t>
            </w:r>
            <w:proofErr w:type="gramEnd"/>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Referenssiluottomarginaaliriskin omien varojen vaatimukset</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f, 383 i, 383 j, 383 s ja 383 u artikla.</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proofErr w:type="gramStart"/>
            <w:r>
              <w:rPr>
                <w:rFonts w:ascii="Times New Roman" w:hAnsi="Times New Roman"/>
                <w:sz w:val="24"/>
              </w:rPr>
              <w:t>0220-0230</w:t>
            </w:r>
            <w:proofErr w:type="gramEnd"/>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Osakeriskin omien varojen vaatimukset</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Asetuksen (EU) N:o 575/2013 383 g, 383 i, 383 j, 383 v ja 383 w artikla.</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Hyödykeriskin omien varojen vaatimukset</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Asetuksen (EU) N:o 575/2013 383 h, 383 i, 383 j, 383 x ja 383 z artikla.</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Cambria Math" w:hAnsi="Cambria Math"/>
                <w:sz w:val="24"/>
              </w:rPr>
              <w:t>𝑚𝐶𝑉𝐴</w:t>
            </w:r>
            <w:r>
              <w:rPr>
                <w:rFonts w:ascii="Times New Roman" w:hAnsi="Times New Roman"/>
                <w:sz w:val="24"/>
              </w:rPr>
              <w:t>-kertoimen arvo asetuksen (EU) N:o 575/2013 383 b artiklan 8 kohdan mukaisesti. Kyseinen omien varojen vaatimusten laskennassa käytetty arvo on ilmoitettava (arvo on 1 tai toimivaltaisten viranomaisten korottama arvo).</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Omien varojen vaatimukset</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lastRenderedPageBreak/>
              <w:t>Tässä tarkoitetaan sellaisten liiketoimien omien varojen vaatimuksia, joihin sovelletaan asetuksen (EU) N:o 575/2013 383 artiklan mukaisesti laskettua vastuun arvonoikaisuun sovellettavaa standardimenetelmää (SA-CVA).</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OMIEN VAROJEN VAATIMUKSET YHTEENSÄ</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Asetuksen (EU) N:o 575/2013 92 artiklan 4 kohdan e alakohta. </w:t>
            </w:r>
          </w:p>
          <w:p w14:paraId="424C965B" w14:textId="129A93CC" w:rsidR="00680687" w:rsidRPr="002A677E" w:rsidDel="00024DEA" w:rsidRDefault="00680687" w:rsidP="006A3ADC">
            <w:pPr>
              <w:rPr>
                <w:rFonts w:ascii="Times New Roman" w:hAnsi="Times New Roman"/>
                <w:b/>
                <w:sz w:val="24"/>
                <w:u w:val="single"/>
              </w:rPr>
            </w:pPr>
            <w:r>
              <w:rPr>
                <w:rFonts w:ascii="Times New Roman" w:hAnsi="Times New Roman"/>
                <w:sz w:val="24"/>
              </w:rPr>
              <w:t>Vastuun arvonoikaisuriskin omien varojen vaatimukset yhteensä laskettuna käyttäen mitä tahansa asetuksen (EU) N:o 575/2013 382 a artiklassa tarkoitettua soveltuvaa menetelmää.</w:t>
            </w:r>
            <w:r w:rsidR="00AA7666">
              <w:rPr>
                <w:rFonts w:ascii="Times New Roman" w:hAnsi="Times New Roman"/>
                <w:sz w:val="24"/>
              </w:rPr>
              <w:t xml:space="preserve"> </w:t>
            </w:r>
            <w:r>
              <w:rPr>
                <w:rFonts w:ascii="Times New Roman" w:hAnsi="Times New Roman"/>
                <w:sz w:val="24"/>
              </w:rPr>
              <w:t>Jos sovelletaan useampaa kuin yhtä menetelmää, ilmoitetaan kaikkien menetelmien omien varojen vaatimusten yhteenlaskettu summa.</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KOKONAISRISKIN MÄÄRÄT</w:t>
            </w:r>
          </w:p>
          <w:p w14:paraId="6B715A20" w14:textId="77777777" w:rsidR="00680687" w:rsidRPr="002A677E" w:rsidRDefault="00680687" w:rsidP="006A3ADC">
            <w:pPr>
              <w:rPr>
                <w:rFonts w:ascii="Times New Roman" w:hAnsi="Times New Roman"/>
                <w:sz w:val="24"/>
              </w:rPr>
            </w:pPr>
            <w:r>
              <w:rPr>
                <w:rFonts w:ascii="Times New Roman" w:hAnsi="Times New Roman"/>
                <w:sz w:val="24"/>
              </w:rPr>
              <w:t>Asetuksen (EU) N:o 575/2013 92 artiklan 6 kohta.</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Omien varojen vaatimukset kerrottuina kertoimella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Rivit</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Vastuun arvonoikaisuriskin omien varojen vaatimusten soveltamisalaan kuuluvat liiketoimet</w:t>
            </w:r>
          </w:p>
          <w:p w14:paraId="0243C539" w14:textId="77777777" w:rsidR="00680687" w:rsidRPr="00DB28D1" w:rsidRDefault="00680687" w:rsidP="006A3ADC">
            <w:pPr>
              <w:rPr>
                <w:rFonts w:ascii="Times New Roman" w:hAnsi="Times New Roman"/>
                <w:sz w:val="24"/>
              </w:rPr>
            </w:pPr>
            <w:r>
              <w:rPr>
                <w:rFonts w:ascii="Times New Roman" w:hAnsi="Times New Roman"/>
                <w:sz w:val="24"/>
              </w:rPr>
              <w:t>Asetuksen (EU) N:o 575/2013 382 artikla.</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Joista: vain johdannaiset</w:t>
            </w:r>
          </w:p>
          <w:p w14:paraId="243F2835" w14:textId="77777777" w:rsidR="00680687" w:rsidRPr="002A677E" w:rsidRDefault="00680687" w:rsidP="006A3ADC">
            <w:pPr>
              <w:rPr>
                <w:rFonts w:ascii="Times New Roman" w:hAnsi="Times New Roman"/>
                <w:sz w:val="24"/>
              </w:rPr>
            </w:pPr>
            <w:r>
              <w:rPr>
                <w:rFonts w:ascii="Times New Roman" w:hAnsi="Times New Roman"/>
                <w:sz w:val="24"/>
              </w:rPr>
              <w:t>Asetuksen (EU) N:o 575/2013 382 artiklan soveltamisalaan kuuluvat johdannaiset (eli kaikki rivillä 0010 ilmoitetut liiketoimet, lukuun ottamatta arvopapereilla toteutettavia rahoitustoimia).</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4BFDF3AC" w:rsidR="00680687" w:rsidRPr="005C217A" w:rsidRDefault="00680687" w:rsidP="006A3ADC">
            <w:pPr>
              <w:rPr>
                <w:rFonts w:ascii="Times New Roman" w:hAnsi="Times New Roman"/>
                <w:b/>
                <w:bCs/>
                <w:sz w:val="24"/>
                <w:u w:val="single"/>
              </w:rPr>
            </w:pPr>
            <w:r>
              <w:rPr>
                <w:rFonts w:ascii="Times New Roman" w:hAnsi="Times New Roman"/>
                <w:b/>
                <w:sz w:val="24"/>
                <w:u w:val="single"/>
              </w:rPr>
              <w:t>Joista:</w:t>
            </w:r>
            <w:r w:rsidR="00AA7666">
              <w:rPr>
                <w:rFonts w:ascii="Times New Roman" w:hAnsi="Times New Roman"/>
                <w:b/>
                <w:sz w:val="24"/>
                <w:u w:val="single"/>
              </w:rPr>
              <w:t xml:space="preserve"> </w:t>
            </w:r>
            <w:r>
              <w:rPr>
                <w:rFonts w:ascii="Times New Roman" w:hAnsi="Times New Roman"/>
                <w:b/>
                <w:sz w:val="24"/>
                <w:u w:val="single"/>
              </w:rPr>
              <w:t>muutoin vapautetut liiketoimet, jotka laitokset päättävät sisällyttää uudelleen omien varojen vaatimusten laskentaan</w:t>
            </w:r>
          </w:p>
          <w:p w14:paraId="44419E50" w14:textId="77777777" w:rsidR="00680687" w:rsidRPr="002A677E" w:rsidRDefault="00680687" w:rsidP="006A3ADC">
            <w:pPr>
              <w:rPr>
                <w:rFonts w:ascii="Times New Roman" w:hAnsi="Times New Roman"/>
                <w:sz w:val="24"/>
              </w:rPr>
            </w:pPr>
            <w:r>
              <w:rPr>
                <w:rFonts w:ascii="Times New Roman" w:hAnsi="Times New Roman"/>
                <w:sz w:val="24"/>
              </w:rPr>
              <w:t>Asetuksen (EU) N:o 575/2013 382 artiklan 4 a kohta.</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LISÄTIETOERÄT</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Vapautukset vastuun arvonoikaisuriskiä koskevasta vaatimuksesta: uudelleensisällyttämisen marginaalivaikutus</w:t>
            </w:r>
          </w:p>
          <w:p w14:paraId="7A74B86F" w14:textId="77777777" w:rsidR="00680687" w:rsidRPr="005C217A" w:rsidRDefault="00680687" w:rsidP="006A3ADC">
            <w:pPr>
              <w:rPr>
                <w:rFonts w:ascii="Times New Roman" w:hAnsi="Times New Roman"/>
                <w:sz w:val="24"/>
              </w:rPr>
            </w:pPr>
            <w:r>
              <w:rPr>
                <w:rFonts w:ascii="Times New Roman" w:hAnsi="Times New Roman"/>
                <w:sz w:val="24"/>
              </w:rPr>
              <w:t xml:space="preserve">Asetuksen (EU) N:o 575/2013 382 artiklan 3 ja 4 kohdassa määriteltyjen vastuun arvonoikaisuriskiin liittyvien vapautusten uudelleensisällyttämisen marginaalivaikutus erikseen kunkin vapautuksen osalta. Marginaalivaikutus on absoluuttisena määränä ilmaistu erotus rivillä 0010 tarkoitettujen liiketoimien soveltamisalan asiaankuuluvan mittarin vapautuksen uudelleensoveltamisen jälkeen ja rivillä 0010 tarkoitettujen liiketoimien soveltamisalan asiaankuuluvan mittarin välillä.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Kaikki vapautetut liiketoimet</w:t>
            </w:r>
          </w:p>
          <w:p w14:paraId="76D1F41B" w14:textId="77777777" w:rsidR="00680687" w:rsidRDefault="00680687" w:rsidP="006A3ADC">
            <w:pPr>
              <w:pStyle w:val="Default"/>
              <w:jc w:val="both"/>
              <w:rPr>
                <w:sz w:val="20"/>
                <w:szCs w:val="20"/>
              </w:rPr>
            </w:pPr>
            <w:r>
              <w:rPr>
                <w:rFonts w:ascii="Times New Roman" w:hAnsi="Times New Roman"/>
              </w:rPr>
              <w:lastRenderedPageBreak/>
              <w:t xml:space="preserve">Asetuksen (EU) N:o 575/2013 382 artiklan 3 ja 4 kohdassa määriteltyjen vastuun arvonoikaisuriskiin liittyvien kaikkien vapautusten uudelleensisällyttämisen marginaalivaikutus. </w:t>
            </w:r>
          </w:p>
          <w:p w14:paraId="6F8EA837" w14:textId="77777777" w:rsidR="00680687" w:rsidRPr="008A700D" w:rsidRDefault="00680687" w:rsidP="006A3ADC">
            <w:pPr>
              <w:pStyle w:val="Default"/>
              <w:rPr>
                <w:rFonts w:ascii="Times New Roman" w:hAnsi="Times New Roman"/>
              </w:rPr>
            </w:pPr>
            <w:r>
              <w:rPr>
                <w:rFonts w:ascii="Times New Roman" w:hAnsi="Times New Roman"/>
              </w:rPr>
              <w:t>Liiketoimien soveltamisalan olisi sisällettävä kaikki rivillä 0010 ilmoitetut liiketoimet ottamatta huomioon asetuksen (EU) N:o 575/2013 382 artiklan 3 ja 4 kohdassa mainittuja vapautuksia.</w:t>
            </w:r>
            <w:r>
              <w:rPr>
                <w:rFonts w:ascii="Times New Roman" w:hAnsi="Times New Roman"/>
                <w:color w:val="auto"/>
              </w:rPr>
              <w:t xml:space="preserve"> Tällä hetkellä edellä mainitut kyseisten artiklojen mukaisesti vastuun arvonoikaisuriskiä koskevien pääomavaatimusten laskemisen ulkopuolelle jätetyt liiketoimet olisi sisällytettävä uudelleen tämän rivin osalta. Tämän rivin osalta uudelleensisällytettyjen liiketoimien kokonaismäärään kuuluvat ne liiketoimet, jotka sisällytetään uudelleen rivejä 0050–0110 varten.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lastRenderedPageBreak/>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Asiakkaan liiketoimet</w:t>
            </w:r>
          </w:p>
          <w:p w14:paraId="26BE71DE" w14:textId="77777777" w:rsidR="00680687" w:rsidRDefault="00680687" w:rsidP="006A3ADC">
            <w:pPr>
              <w:pStyle w:val="Default"/>
              <w:jc w:val="both"/>
              <w:rPr>
                <w:rFonts w:ascii="Times New Roman" w:hAnsi="Times New Roman"/>
              </w:rPr>
            </w:pPr>
            <w:r>
              <w:rPr>
                <w:rFonts w:ascii="Times New Roman" w:hAnsi="Times New Roman"/>
              </w:rPr>
              <w:t>Asetuksen (EU) N:o 575/2013 382 artiklan 3 kohdassa määritetyn asiakkaiden liiketoimien uudelleensisällyttämisen marginaalivaikutus.</w:t>
            </w:r>
          </w:p>
          <w:p w14:paraId="73231515" w14:textId="77777777" w:rsidR="00680687" w:rsidRPr="005C217A" w:rsidRDefault="00680687" w:rsidP="006A3ADC">
            <w:pPr>
              <w:pStyle w:val="Default"/>
              <w:rPr>
                <w:sz w:val="20"/>
                <w:szCs w:val="20"/>
              </w:rPr>
            </w:pPr>
            <w:r>
              <w:rPr>
                <w:rFonts w:ascii="Times New Roman" w:hAnsi="Times New Roman"/>
              </w:rPr>
              <w:t xml:space="preserve">Asiakkaan ja määritysosapuolen välisten liiketoimien uudelleensisällyttämisen marginaalivaikutus, kun määritysosapuoli toimii välittäjänä sellaisen asiakkaan ja sellaisen ehdot täyttävän keskusvastapuolen välillä, jotka on vapautettu asetuksen (EU) N:o 575/2013 382 artiklan 3 kohdan nojalla rivin 0010 soveltamisalasta. Asiakkaiden ei pidä sisällyttää kyseisiä liiketoimia uudelleen, jos liiketoimi täyttää kyseisen asetuksen 305 artiklan 2, 3 ja 4 kohdan vaatimukset.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Liiketoimet rahoitusalan ulkopuolisten vastapuolten kanssa</w:t>
            </w:r>
          </w:p>
          <w:p w14:paraId="5D14F94F" w14:textId="77777777" w:rsidR="00680687" w:rsidRPr="00F800E2" w:rsidRDefault="00680687" w:rsidP="006A3ADC">
            <w:pPr>
              <w:rPr>
                <w:rFonts w:ascii="Times New Roman" w:hAnsi="Times New Roman"/>
                <w:sz w:val="24"/>
              </w:rPr>
            </w:pPr>
            <w:r w:rsidRPr="00F800E2">
              <w:rPr>
                <w:rFonts w:ascii="Times New Roman" w:hAnsi="Times New Roman"/>
                <w:sz w:val="24"/>
              </w:rPr>
              <w:t>Asetuksen (EU) N:o 575/2013 382 artiklan 4 kohdan a alakohdassa määritetyn, finanssialan ulkopuolisten vastapuolten kanssa toteutettujen liiketoimien uudelleensisällyttämisen marginaalivaikutus.</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Liiketoimet ainoastaan EU:n rahoitusalan ulkopuolisten vastapuolten kanssa</w:t>
            </w:r>
          </w:p>
          <w:p w14:paraId="4BE3F0CA" w14:textId="77777777" w:rsidR="00680687" w:rsidRPr="002A677E" w:rsidRDefault="00680687" w:rsidP="006A3ADC">
            <w:pPr>
              <w:rPr>
                <w:rFonts w:ascii="Times New Roman" w:hAnsi="Times New Roman"/>
                <w:sz w:val="24"/>
              </w:rPr>
            </w:pPr>
            <w:r>
              <w:rPr>
                <w:rFonts w:ascii="Times New Roman" w:hAnsi="Times New Roman"/>
                <w:sz w:val="24"/>
              </w:rPr>
              <w:t>Ainoastaan EU:n rahoitusalan ulkopuolisten vastapuolten kanssa toteutettujen liiketoimien uudelleensisällyttämisen marginaalivaikutus. Liiketoimien soveltamisalan tulisi sisältää kaikki rivillä 0060 ilmoitetut liiketoimet pois lukien rivillä 0080 ilmoitettujen liiketoimien soveltamisala.</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Liiketoimet ainoastaan kolmansien maiden rahoitusalan ulkopuolisten vastapuolten kanssa</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Ainoastaan kolmansien maiden rahoitusalan ulkopuolisten vastapuolten kanssa </w:t>
            </w:r>
            <w:r w:rsidRPr="00F800E2">
              <w:rPr>
                <w:rFonts w:ascii="Times New Roman" w:hAnsi="Times New Roman"/>
                <w:sz w:val="24"/>
              </w:rPr>
              <w:t>toteutettujen liiketoimien uudelleensisällyttämisen marginaalivaikutus. Liiketoimien soveltamisalan tulisi sisältää kaikki rivillä 0060 ilmoitetut liiketoimet pois lukien rivillä 0070 ilmoitettujen liiketoimien soveltamisala.</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Konsernin sisäiset transaktiot</w:t>
            </w:r>
          </w:p>
          <w:p w14:paraId="59B1E4E8" w14:textId="77777777" w:rsidR="00680687" w:rsidRPr="00F800E2" w:rsidRDefault="00680687" w:rsidP="006A3ADC">
            <w:pPr>
              <w:rPr>
                <w:rFonts w:ascii="Times New Roman" w:hAnsi="Times New Roman"/>
                <w:sz w:val="24"/>
              </w:rPr>
            </w:pPr>
            <w:r w:rsidRPr="00F800E2">
              <w:rPr>
                <w:rFonts w:ascii="Times New Roman" w:hAnsi="Times New Roman"/>
                <w:sz w:val="24"/>
              </w:rPr>
              <w:t>Asetuksen (EU) N:o 575/2013 382 artiklan 4 kohdan b alakohdassa määritetyn konsernin sisäisten liiketoimien uudelleensisällyttämisen marginaalivaikutus.</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Liiketoimet eläkerahastovastapuolten kanssa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 xml:space="preserve">Eläkerahastovastapuolten kanssa tehtyjen, asetuksen (EU) N:o 648/2012 89 artiklan 1 kohdassa säädetyn siirtymäkauden aikana toteutettujen liiketoimien uudelleensisällyttämisen marginaalivaikutus, kun liiketoimet on vapautettu </w:t>
            </w:r>
            <w:r>
              <w:rPr>
                <w:rFonts w:ascii="Times New Roman" w:hAnsi="Times New Roman"/>
                <w:sz w:val="24"/>
              </w:rPr>
              <w:lastRenderedPageBreak/>
              <w:t>vastuun arvonoikaisuriskin omien varojen vaatimuksista asetuksen (EU) N:o 575/2013 382 artiklan 4 kohdan toisen alakohdan mukaisesti. Kyseisen asetuksen 382 artiklan 4 kohdan c alakohdassa mainittuja liiketoimia, joita ei toteuteta asetuksen (EU) N:o 648/2012 89 artiklan 1 kohdassa säädetyn siirtymäkauden aikana, ei pidetä vaatimuksen ulkopuolelle jätettävinä liiketoimina, koska kyseisen vapautuksen soveltamista koskeva siirtymäkausi on päättynyt.</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lastRenderedPageBreak/>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Liiketoimet, joissa vastapuolena on valtio</w:t>
            </w:r>
          </w:p>
          <w:p w14:paraId="63BD107D" w14:textId="77777777" w:rsidR="00680687" w:rsidRPr="00F800E2" w:rsidRDefault="00680687" w:rsidP="006A3ADC">
            <w:pPr>
              <w:rPr>
                <w:rFonts w:ascii="Times New Roman" w:hAnsi="Times New Roman"/>
                <w:sz w:val="24"/>
              </w:rPr>
            </w:pPr>
            <w:r w:rsidRPr="00F800E2">
              <w:rPr>
                <w:rFonts w:ascii="Times New Roman" w:hAnsi="Times New Roman"/>
                <w:sz w:val="24"/>
              </w:rPr>
              <w:t>Asetuksen (EU) N:o 575/2013 382 artiklan 4 kohdan d alakohdassa määritetyn sellaisten liiketoimien, joissa vastapuolena on valtio, uudelleensisällyttämisen marginaalivaikutus.</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Vastuun arvonoikaisujen suojaukset vapautetuille liiketoimille, jotka eivät sisälly vastuun arvonoikaisun soveltamisalaan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Vastuun arvonoikaisujen suojaukset vapautetuille liiketoimille, jotka eivät sisälly vastuun arvonoikaisuriskin omien varojen vaatimusten soveltamisalaan ja joihin sovelletaan markkinariskiä koskevia pääomavaatimuksia.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Sellaiset arvopapereilla toteutettavat rahoitustoimet yhteensä, joita ei määritetä keskusvastapuolessa ja jotka on kirjanpitotarkoituksessa arvostettu käypään arvoon, lukuun ottamatta vapautettuja liiketoimia </w:t>
            </w:r>
          </w:p>
          <w:p w14:paraId="6A560A0D" w14:textId="042E0D75" w:rsidR="00680687" w:rsidRPr="002A677E" w:rsidRDefault="00680687" w:rsidP="006A3ADC">
            <w:pPr>
              <w:rPr>
                <w:rFonts w:ascii="Times New Roman" w:hAnsi="Times New Roman"/>
                <w:sz w:val="24"/>
              </w:rPr>
            </w:pPr>
            <w:r>
              <w:rPr>
                <w:rFonts w:ascii="Times New Roman" w:hAnsi="Times New Roman"/>
                <w:sz w:val="24"/>
              </w:rPr>
              <w:t>Arvopapereilla toteutettavat rahoitustoimet, jotka arvostetaan kirjanpitotarkoituksessa käypään arvoon ja jotka kuuluisivat vastuun arvonoikaisuriskin omien varojen vaatimusten soveltamisalaan asetuksen (EU) N:o 575/2013 382 artiklan 2 kohdan mukaisesti riippumatta siitä, ovatko niistä aiheutuvat vastuun arvonoikaisuriskit olennaisia. Arvopapereilla toteutettavat rahoitustoimet, jotka on vapautettu vastuun arvonoikaisuriskin omien varojen vaatimuksista asetuksen (EU) N:o 575/2013 382 artiklan 3 ja 4 kohdan mukaisesti, on jätettävä laskelmien ulkopuolelle, paitsi jos laitos sisällyttää kyseiset liiketoimet vastuun arvonoikaisuriskin omien varojen vaatimusten soveltamisalaan asetuksen (EU) N:o 575/2013 382 artiklan 4 a kohdan mukaisesti.</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Vastuun arvonoikaisujen suojaukset</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Asetuksen (EU) N:o 575/2013 386 artikla.</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Yhteen riskikohteeseen keskittyvät luottoriskinvaihtosopimukset</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Indeksiin liitetyt luottoriskinvaihtosopimukset</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Muut vastuun arvonoikaisuriskin suojauksiksi luokitellut johdannaiset</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Vastapuolityypit liiketoimissa, joihin sovelletaan SA-CVA-menetelmää</w:t>
            </w:r>
          </w:p>
          <w:p w14:paraId="3B7F80A8" w14:textId="77777777" w:rsidR="00680687" w:rsidRDefault="00680687" w:rsidP="006A3ADC">
            <w:pPr>
              <w:rPr>
                <w:rFonts w:ascii="Times New Roman" w:hAnsi="Times New Roman"/>
                <w:sz w:val="24"/>
              </w:rPr>
            </w:pPr>
            <w:r>
              <w:rPr>
                <w:rFonts w:ascii="Times New Roman" w:hAnsi="Times New Roman"/>
                <w:sz w:val="24"/>
              </w:rPr>
              <w:t>Asetuksen (EU) N:o 575/2013 445 a artiklan 1 kohdan c alakohta.</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Kullekin vastapuolelle on valittava yksi ala seuraavasta FINREPin talouden alaa koskevasta luokituksesta (ks. tämän täytäntöönpanoasetuksen liitteessä V oleva 3 osa).</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lastRenderedPageBreak/>
              <w:t>Vastapuolten lukumäärä aloittain on ilmoitettava sarakkeessa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lastRenderedPageBreak/>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Keskuspankit</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Julkisyhteisöt</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Luottolaitokset</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Sijoituspalveluyritykset</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Muut rahoituslaitokset (lukuun ottamatta sijoituspalveluyrityksiä)</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Rahoitusalan ulkopuoliset yritykset</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Vastuun arvonoikaisuriskin systemaattisten komponenttien yhdistelmä</w:t>
            </w:r>
          </w:p>
          <w:p w14:paraId="62BC44EB" w14:textId="2AD3E87C" w:rsidR="00680687" w:rsidRPr="009766CF" w:rsidRDefault="00680687" w:rsidP="006A3ADC">
            <w:pPr>
              <w:rPr>
                <w:rFonts w:ascii="Times New Roman" w:hAnsi="Times New Roman"/>
                <w:sz w:val="24"/>
              </w:rPr>
            </w:pPr>
            <w:r>
              <w:rPr>
                <w:rFonts w:ascii="Times New Roman" w:hAnsi="Times New Roman"/>
                <w:sz w:val="24"/>
              </w:rPr>
              <w:t>Asetuksen (EU) N:o 575/2013 384 artiklan 3 kohta. Täydellisen korrelaatio-oletuksen mukainen omien varojen vaatimus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sidR="00AA7666">
              <w:rPr>
                <w:rFonts w:ascii="Times New Roman" w:hAnsi="Times New Roman"/>
                <w:sz w:val="24"/>
                <w:vertAlign w:val="subscript"/>
              </w:rPr>
              <w:t xml:space="preserve"> </w:t>
            </w:r>
            <w:r>
              <w:rPr>
                <w:rFonts w:ascii="Times New Roman" w:hAnsi="Times New Roman"/>
                <w:sz w:val="24"/>
              </w:rPr>
              <w:t>Diskonttaustekijää 0,65 ei sovelleta.</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Vastuun arvonoikaisuriskin valvottavakohtaisten komponenttien yhdistelmä</w:t>
            </w:r>
          </w:p>
          <w:p w14:paraId="7B1EBC08" w14:textId="77777777" w:rsidR="00680687" w:rsidRPr="009766CF" w:rsidRDefault="00680687" w:rsidP="006A3ADC">
            <w:pPr>
              <w:rPr>
                <w:rFonts w:ascii="Times New Roman" w:hAnsi="Times New Roman"/>
                <w:sz w:val="24"/>
              </w:rPr>
            </w:pPr>
            <w:r>
              <w:rPr>
                <w:rFonts w:ascii="Times New Roman" w:hAnsi="Times New Roman"/>
                <w:sz w:val="24"/>
              </w:rPr>
              <w:t>Asetuksen (EU) N:o 575/2013 384 artiklan 3 kohta. Nollakorrelaatio-oletuksen mukainen omien varojen vaatimus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Diskonttaustekijää 0,65 ei sovelleta.</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56F9C"/>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A7666"/>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00E2"/>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E81CACE4-9102-4536-9924-C97BAE46568E}"/>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1628</Words>
  <Characters>12573</Characters>
  <Application>Microsoft Office Word</Application>
  <DocSecurity>0</DocSecurity>
  <Lines>322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2025-01-21T13:04:04Z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af8960bb-ebd0-4ee2-86a5-eecc73415217</vt:lpwstr>
  </property>
  <property fmtid="{D5CDD505-2E9C-101B-9397-08002B2CF9AE}" pid="9" name="MSIP_Label_6bd9ddd1-4d20-43f6-abfa-fc3c07406f94_ContentBits">
    <vt:lpwstr>0</vt:lpwstr>
  </property>
</Properties>
</file>